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2B" w:rsidRPr="007C022B" w:rsidRDefault="007C022B" w:rsidP="007C022B">
      <w:pPr>
        <w:jc w:val="center"/>
        <w:rPr>
          <w:rFonts w:ascii="Calibri" w:hAnsi="Calibri"/>
          <w:bCs/>
          <w:sz w:val="32"/>
          <w:szCs w:val="32"/>
        </w:rPr>
      </w:pPr>
      <w:bookmarkStart w:id="0" w:name="_GoBack"/>
      <w:bookmarkEnd w:id="0"/>
      <w:r w:rsidRPr="007C022B">
        <w:rPr>
          <w:rFonts w:ascii="Calibri" w:hAnsi="Calibri"/>
          <w:bCs/>
          <w:sz w:val="32"/>
          <w:szCs w:val="32"/>
        </w:rPr>
        <w:t>Schuld und Sühne</w:t>
      </w:r>
    </w:p>
    <w:p w:rsidR="007C022B" w:rsidRPr="007C022B" w:rsidRDefault="007C022B" w:rsidP="007C022B">
      <w:pPr>
        <w:jc w:val="center"/>
        <w:rPr>
          <w:rFonts w:ascii="Calibri" w:hAnsi="Calibri"/>
          <w:bCs/>
          <w:i/>
        </w:rPr>
      </w:pPr>
      <w:r w:rsidRPr="007C022B">
        <w:rPr>
          <w:rFonts w:ascii="Calibri" w:hAnsi="Calibri"/>
          <w:bCs/>
          <w:i/>
        </w:rPr>
        <w:t>Der Mauerschützenprozess 1995</w:t>
      </w:r>
    </w:p>
    <w:p w:rsidR="007C022B" w:rsidRDefault="007C022B" w:rsidP="007C022B">
      <w:pPr>
        <w:jc w:val="center"/>
        <w:rPr>
          <w:rFonts w:ascii="Calibri" w:hAnsi="Calibri"/>
          <w:b/>
          <w:bCs/>
        </w:rPr>
      </w:pPr>
    </w:p>
    <w:p w:rsidR="007C022B" w:rsidRPr="007C022B" w:rsidRDefault="003D25CC" w:rsidP="007C022B">
      <w:pPr>
        <w:jc w:val="center"/>
        <w:rPr>
          <w:rFonts w:ascii="Calibri" w:hAnsi="Calibri"/>
          <w:bCs/>
        </w:rPr>
      </w:pPr>
      <w:r w:rsidRPr="003D25CC">
        <w:rPr>
          <w:rFonts w:ascii="Calibri" w:hAnsi="Calibri"/>
          <w:bCs/>
          <w:noProof/>
          <w:lang w:eastAsia="de-DE" w:bidi="ar-SA"/>
        </w:rPr>
        <w:drawing>
          <wp:inline distT="0" distB="0" distL="0" distR="0">
            <wp:extent cx="4285363" cy="3133344"/>
            <wp:effectExtent l="0" t="0" r="1270" b="0"/>
            <wp:docPr id="1" name="Grafik 1" descr="D:\Marienetta Jirkowsky\BSTU Marienetta Flucht\Marienetta\Wachtturm MJ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ienetta Jirkowsky\BSTU Marienetta Flucht\Marienetta\Wachtturm MJ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464" cy="313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22B" w:rsidRPr="00A12694" w:rsidRDefault="00A12694" w:rsidP="00A12694">
      <w:pPr>
        <w:jc w:val="center"/>
        <w:rPr>
          <w:rFonts w:ascii="Calibri" w:hAnsi="Calibri"/>
          <w:bCs/>
          <w:sz w:val="18"/>
          <w:szCs w:val="18"/>
        </w:rPr>
      </w:pPr>
      <w:r w:rsidRPr="00A12694">
        <w:rPr>
          <w:rFonts w:ascii="Calibri" w:hAnsi="Calibri"/>
          <w:bCs/>
          <w:sz w:val="18"/>
          <w:szCs w:val="18"/>
        </w:rPr>
        <w:t xml:space="preserve">Foto: Sammlung Stefan </w:t>
      </w:r>
      <w:proofErr w:type="spellStart"/>
      <w:r w:rsidRPr="00A12694">
        <w:rPr>
          <w:rFonts w:ascii="Calibri" w:hAnsi="Calibri"/>
          <w:bCs/>
          <w:sz w:val="18"/>
          <w:szCs w:val="18"/>
        </w:rPr>
        <w:t>Appelius</w:t>
      </w:r>
      <w:proofErr w:type="spellEnd"/>
      <w:r w:rsidRPr="00A12694">
        <w:rPr>
          <w:rFonts w:ascii="Calibri" w:hAnsi="Calibri"/>
          <w:bCs/>
          <w:sz w:val="18"/>
          <w:szCs w:val="18"/>
        </w:rPr>
        <w:t xml:space="preserve"> (Berlin)</w:t>
      </w:r>
    </w:p>
    <w:p w:rsidR="00A12694" w:rsidRDefault="00A12694" w:rsidP="00946B5F">
      <w:pPr>
        <w:rPr>
          <w:rFonts w:ascii="Calibri" w:hAnsi="Calibri"/>
          <w:b/>
          <w:bCs/>
        </w:rPr>
      </w:pPr>
    </w:p>
    <w:p w:rsidR="00946B5F" w:rsidRDefault="007C022B" w:rsidP="00946B5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1). </w:t>
      </w:r>
      <w:r w:rsidR="003D25CC">
        <w:rPr>
          <w:rFonts w:ascii="Calibri" w:hAnsi="Calibri"/>
          <w:b/>
          <w:bCs/>
        </w:rPr>
        <w:t>Die Richterin und der Flüchtling</w:t>
      </w:r>
    </w:p>
    <w:p w:rsidR="00A43248" w:rsidRPr="00AC0A4D" w:rsidRDefault="00A43248" w:rsidP="00946B5F">
      <w:pPr>
        <w:rPr>
          <w:rFonts w:ascii="Calibri" w:hAnsi="Calibri"/>
        </w:rPr>
      </w:pPr>
    </w:p>
    <w:p w:rsidR="003D25CC" w:rsidRDefault="00946B5F" w:rsidP="00946B5F">
      <w:pPr>
        <w:rPr>
          <w:rFonts w:ascii="Calibri" w:hAnsi="Calibri"/>
        </w:rPr>
      </w:pPr>
      <w:r w:rsidRPr="00AC0A4D">
        <w:rPr>
          <w:rFonts w:ascii="Calibri" w:hAnsi="Calibri"/>
        </w:rPr>
        <w:t xml:space="preserve">1995 wurden zwei ehemalige DDR-Grenzsoldaten vor dem Landgericht Neuruppin wegen der Todesschüsse auf </w:t>
      </w:r>
      <w:proofErr w:type="spellStart"/>
      <w:r w:rsidRPr="00AC0A4D">
        <w:rPr>
          <w:rFonts w:ascii="Calibri" w:hAnsi="Calibri"/>
        </w:rPr>
        <w:t>Marienetta</w:t>
      </w:r>
      <w:proofErr w:type="spellEnd"/>
      <w:r w:rsidRPr="00AC0A4D">
        <w:rPr>
          <w:rFonts w:ascii="Calibri" w:hAnsi="Calibri"/>
        </w:rPr>
        <w:t xml:space="preserve"> </w:t>
      </w:r>
      <w:proofErr w:type="spellStart"/>
      <w:r w:rsidRPr="00AC0A4D">
        <w:rPr>
          <w:rFonts w:ascii="Calibri" w:hAnsi="Calibri"/>
        </w:rPr>
        <w:t>Jirkowsky</w:t>
      </w:r>
      <w:proofErr w:type="spellEnd"/>
      <w:r w:rsidRPr="00AC0A4D">
        <w:rPr>
          <w:rFonts w:ascii="Calibri" w:hAnsi="Calibri"/>
        </w:rPr>
        <w:t xml:space="preserve"> angeklagt. Ein dritter ebenfalls an der Tat beteiligter Mann konnte bis heute nicht ermittelt werden. </w:t>
      </w:r>
    </w:p>
    <w:p w:rsidR="00A12694" w:rsidRDefault="00A12694" w:rsidP="00946B5F">
      <w:pPr>
        <w:rPr>
          <w:rFonts w:ascii="Calibri" w:hAnsi="Calibri"/>
        </w:rPr>
      </w:pPr>
    </w:p>
    <w:p w:rsidR="00946B5F" w:rsidRPr="00AC0A4D" w:rsidRDefault="00946B5F" w:rsidP="00946B5F">
      <w:pPr>
        <w:rPr>
          <w:rFonts w:ascii="Calibri" w:hAnsi="Calibri"/>
        </w:rPr>
      </w:pPr>
      <w:r w:rsidRPr="00AC0A4D">
        <w:rPr>
          <w:rFonts w:ascii="Calibri" w:hAnsi="Calibri"/>
        </w:rPr>
        <w:t>Da die beiden früheren Grenzs</w:t>
      </w:r>
      <w:r w:rsidR="00FB68C0">
        <w:rPr>
          <w:rFonts w:ascii="Calibri" w:hAnsi="Calibri"/>
        </w:rPr>
        <w:t xml:space="preserve">oldaten zum Zeitpunkt von </w:t>
      </w:r>
      <w:proofErr w:type="spellStart"/>
      <w:r w:rsidR="00FB68C0">
        <w:rPr>
          <w:rFonts w:ascii="Calibri" w:hAnsi="Calibri"/>
        </w:rPr>
        <w:t>Marienettas</w:t>
      </w:r>
      <w:proofErr w:type="spellEnd"/>
      <w:r w:rsidRPr="00AC0A4D">
        <w:rPr>
          <w:rFonts w:ascii="Calibri" w:hAnsi="Calibri"/>
        </w:rPr>
        <w:t xml:space="preserve"> Tod selbst erst 19 bzw. 20 Jahre alt gewesen waren, wurden sie nach Jugendstrafrecht behandelt.</w:t>
      </w:r>
    </w:p>
    <w:p w:rsidR="00946B5F" w:rsidRPr="00AC0A4D" w:rsidRDefault="00946B5F" w:rsidP="00946B5F">
      <w:pPr>
        <w:rPr>
          <w:rFonts w:ascii="Calibri" w:hAnsi="Calibri"/>
        </w:rPr>
      </w:pPr>
    </w:p>
    <w:p w:rsidR="00A12694" w:rsidRDefault="00946B5F" w:rsidP="00A12694">
      <w:pPr>
        <w:rPr>
          <w:rFonts w:ascii="Calibri" w:hAnsi="Calibri"/>
        </w:rPr>
      </w:pPr>
      <w:r w:rsidRPr="00AC0A4D">
        <w:rPr>
          <w:rFonts w:ascii="Calibri" w:hAnsi="Calibri"/>
        </w:rPr>
        <w:t>Falko wurde vor Gericht als Zeuge vorgeladen.</w:t>
      </w:r>
      <w:r w:rsidR="00317447">
        <w:rPr>
          <w:rFonts w:ascii="Calibri" w:hAnsi="Calibri"/>
        </w:rPr>
        <w:t xml:space="preserve"> Peter war zum Zeitpunkt der Gerichtsverhandlung bereits nicht mehr am Leben. Die Richterin konfrontierte Falko</w:t>
      </w:r>
      <w:r w:rsidRPr="00AC0A4D">
        <w:rPr>
          <w:rFonts w:ascii="Calibri" w:hAnsi="Calibri"/>
        </w:rPr>
        <w:t xml:space="preserve"> mit der früheren Berichterstattung der </w:t>
      </w:r>
      <w:r w:rsidR="00535641">
        <w:rPr>
          <w:rFonts w:ascii="Calibri" w:hAnsi="Calibri"/>
        </w:rPr>
        <w:t>Boulevardpresse</w:t>
      </w:r>
      <w:r w:rsidRPr="00AC0A4D">
        <w:rPr>
          <w:rFonts w:ascii="Calibri" w:hAnsi="Calibri"/>
        </w:rPr>
        <w:t xml:space="preserve"> und bezeichnete ih</w:t>
      </w:r>
      <w:r w:rsidR="00535641">
        <w:rPr>
          <w:rFonts w:ascii="Calibri" w:hAnsi="Calibri"/>
        </w:rPr>
        <w:t>n</w:t>
      </w:r>
      <w:r w:rsidR="00A12694">
        <w:rPr>
          <w:rFonts w:ascii="Calibri" w:hAnsi="Calibri"/>
        </w:rPr>
        <w:t xml:space="preserve"> als </w:t>
      </w:r>
      <w:r w:rsidR="00535641">
        <w:rPr>
          <w:rFonts w:ascii="Calibri" w:hAnsi="Calibri"/>
        </w:rPr>
        <w:t>„</w:t>
      </w:r>
      <w:r w:rsidR="00A12694">
        <w:rPr>
          <w:rFonts w:ascii="Calibri" w:hAnsi="Calibri"/>
        </w:rPr>
        <w:t>unglaubwürdig</w:t>
      </w:r>
      <w:r w:rsidR="00535641">
        <w:rPr>
          <w:rFonts w:ascii="Calibri" w:hAnsi="Calibri"/>
        </w:rPr>
        <w:t>“</w:t>
      </w:r>
      <w:r w:rsidR="00A12694">
        <w:rPr>
          <w:rFonts w:ascii="Calibri" w:hAnsi="Calibri"/>
        </w:rPr>
        <w:t>.</w:t>
      </w:r>
      <w:r w:rsidRPr="00AC0A4D">
        <w:rPr>
          <w:rFonts w:ascii="Calibri" w:hAnsi="Calibri"/>
        </w:rPr>
        <w:t xml:space="preserve"> </w:t>
      </w:r>
    </w:p>
    <w:p w:rsidR="00A12694" w:rsidRDefault="00A12694" w:rsidP="00A12694">
      <w:pPr>
        <w:ind w:left="720"/>
        <w:rPr>
          <w:rFonts w:ascii="Calibri" w:hAnsi="Calibri"/>
        </w:rPr>
      </w:pPr>
    </w:p>
    <w:p w:rsidR="003D25CC" w:rsidRDefault="00946B5F" w:rsidP="007C022B">
      <w:pPr>
        <w:numPr>
          <w:ilvl w:val="0"/>
          <w:numId w:val="1"/>
        </w:numPr>
        <w:rPr>
          <w:rFonts w:ascii="Calibri" w:hAnsi="Calibri"/>
        </w:rPr>
      </w:pPr>
      <w:r w:rsidRPr="00AC0A4D">
        <w:rPr>
          <w:rFonts w:ascii="Calibri" w:hAnsi="Calibri"/>
        </w:rPr>
        <w:t>Diskutiert mit Euren Mitschülern, w</w:t>
      </w:r>
      <w:r w:rsidR="00535641">
        <w:rPr>
          <w:rFonts w:ascii="Calibri" w:hAnsi="Calibri"/>
        </w:rPr>
        <w:t>ie Ihr den Umgang mit Falko</w:t>
      </w:r>
      <w:r w:rsidRPr="00AC0A4D">
        <w:rPr>
          <w:rFonts w:ascii="Calibri" w:hAnsi="Calibri"/>
        </w:rPr>
        <w:t xml:space="preserve"> im Vergleich mit dem Umgang mit den beiden Angeklagten bewertet.</w:t>
      </w:r>
    </w:p>
    <w:p w:rsidR="003D25CC" w:rsidRDefault="00946B5F" w:rsidP="003D25CC">
      <w:pPr>
        <w:rPr>
          <w:rFonts w:ascii="Calibri" w:hAnsi="Calibri"/>
        </w:rPr>
      </w:pPr>
      <w:r w:rsidRPr="00AC0A4D">
        <w:rPr>
          <w:rFonts w:ascii="Calibri" w:hAnsi="Calibri"/>
        </w:rPr>
        <w:t xml:space="preserve"> </w:t>
      </w:r>
    </w:p>
    <w:p w:rsidR="007C022B" w:rsidRPr="007C022B" w:rsidRDefault="00946B5F" w:rsidP="007C022B">
      <w:pPr>
        <w:numPr>
          <w:ilvl w:val="0"/>
          <w:numId w:val="1"/>
        </w:numPr>
        <w:rPr>
          <w:rFonts w:ascii="Calibri" w:hAnsi="Calibri"/>
        </w:rPr>
      </w:pPr>
      <w:r w:rsidRPr="00AC0A4D">
        <w:rPr>
          <w:rFonts w:ascii="Calibri" w:hAnsi="Calibri"/>
        </w:rPr>
        <w:t>Überlegt Euch, wie Falko den V</w:t>
      </w:r>
      <w:r w:rsidR="00535641">
        <w:rPr>
          <w:rFonts w:ascii="Calibri" w:hAnsi="Calibri"/>
        </w:rPr>
        <w:t>erlauf der Verhandlung erlebt</w:t>
      </w:r>
      <w:r w:rsidRPr="00AC0A4D">
        <w:rPr>
          <w:rFonts w:ascii="Calibri" w:hAnsi="Calibri"/>
        </w:rPr>
        <w:t xml:space="preserve"> haben könnte.</w:t>
      </w:r>
    </w:p>
    <w:p w:rsidR="007C022B" w:rsidRPr="00AC0A4D" w:rsidRDefault="007C022B" w:rsidP="007C022B">
      <w:pPr>
        <w:ind w:left="720"/>
        <w:rPr>
          <w:rFonts w:ascii="Calibri" w:hAnsi="Calibri"/>
        </w:rPr>
      </w:pPr>
    </w:p>
    <w:p w:rsidR="00946B5F" w:rsidRPr="00A43248" w:rsidRDefault="007C022B" w:rsidP="00946B5F">
      <w:pPr>
        <w:rPr>
          <w:rFonts w:ascii="Calibri" w:hAnsi="Calibri"/>
          <w:b/>
        </w:rPr>
      </w:pPr>
      <w:r w:rsidRPr="00A43248">
        <w:rPr>
          <w:rFonts w:ascii="Calibri" w:hAnsi="Calibri"/>
          <w:b/>
        </w:rPr>
        <w:t>2).</w:t>
      </w:r>
      <w:r w:rsidR="003D25CC">
        <w:rPr>
          <w:rFonts w:ascii="Calibri" w:hAnsi="Calibri"/>
          <w:b/>
        </w:rPr>
        <w:t xml:space="preserve"> Die Strafe wird verkündet</w:t>
      </w:r>
    </w:p>
    <w:p w:rsidR="007C022B" w:rsidRDefault="007C022B" w:rsidP="00946B5F">
      <w:pPr>
        <w:rPr>
          <w:rFonts w:ascii="Calibri" w:hAnsi="Calibri"/>
        </w:rPr>
      </w:pPr>
    </w:p>
    <w:p w:rsidR="003D25CC" w:rsidRDefault="00946B5F" w:rsidP="003D25CC">
      <w:pPr>
        <w:rPr>
          <w:rFonts w:ascii="Calibri" w:hAnsi="Calibri"/>
        </w:rPr>
      </w:pPr>
      <w:r w:rsidRPr="00AC0A4D">
        <w:rPr>
          <w:rFonts w:ascii="Calibri" w:hAnsi="Calibri"/>
        </w:rPr>
        <w:t>Der eine der beid</w:t>
      </w:r>
      <w:r w:rsidR="003D25CC">
        <w:rPr>
          <w:rFonts w:ascii="Calibri" w:hAnsi="Calibri"/>
        </w:rPr>
        <w:t>en Angeklagten wurde wegen</w:t>
      </w:r>
      <w:r w:rsidRPr="00AC0A4D">
        <w:rPr>
          <w:rFonts w:ascii="Calibri" w:hAnsi="Calibri"/>
        </w:rPr>
        <w:t xml:space="preserve"> „Totschlags in minder schwerem Fall“ zu einer Jugendstrafe von ein</w:t>
      </w:r>
      <w:r w:rsidR="00535641">
        <w:rPr>
          <w:rFonts w:ascii="Calibri" w:hAnsi="Calibri"/>
        </w:rPr>
        <w:t>em</w:t>
      </w:r>
      <w:r w:rsidRPr="00AC0A4D">
        <w:rPr>
          <w:rFonts w:ascii="Calibri" w:hAnsi="Calibri"/>
        </w:rPr>
        <w:t xml:space="preserve"> Jahr und drei Monaten verurteilt. Der andere Angeklagte, der absichtlich in die Luft geschossen hatte, um niemand zu verletzen, erhielt einen Freispruch. Auch die Vorgesetzten der beiden Soldaten wurden freigesp</w:t>
      </w:r>
      <w:r w:rsidR="003D25CC">
        <w:rPr>
          <w:rFonts w:ascii="Calibri" w:hAnsi="Calibri"/>
        </w:rPr>
        <w:t>rochen.</w:t>
      </w:r>
    </w:p>
    <w:p w:rsidR="003D25CC" w:rsidRDefault="003D25CC" w:rsidP="003D25CC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946B5F" w:rsidRPr="00AC0A4D">
        <w:rPr>
          <w:rFonts w:ascii="Calibri" w:hAnsi="Calibri"/>
        </w:rPr>
        <w:t xml:space="preserve"> </w:t>
      </w:r>
    </w:p>
    <w:p w:rsidR="00946B5F" w:rsidRPr="00AC0A4D" w:rsidRDefault="003D25CC" w:rsidP="00946B5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Diskutiert</w:t>
      </w:r>
      <w:r w:rsidR="00946B5F" w:rsidRPr="00AC0A4D">
        <w:rPr>
          <w:rFonts w:ascii="Calibri" w:hAnsi="Calibri"/>
        </w:rPr>
        <w:t xml:space="preserve"> in Gruppenarbeit, ob ihr die Bestrafung des „Mauerschützen“ für </w:t>
      </w:r>
      <w:r w:rsidR="00946B5F" w:rsidRPr="00AC0A4D">
        <w:rPr>
          <w:rFonts w:ascii="Calibri" w:hAnsi="Calibri"/>
        </w:rPr>
        <w:lastRenderedPageBreak/>
        <w:t>angemessen haltet.</w:t>
      </w:r>
    </w:p>
    <w:p w:rsidR="007C022B" w:rsidRDefault="007C022B" w:rsidP="00946B5F">
      <w:pPr>
        <w:rPr>
          <w:rFonts w:ascii="Calibri" w:hAnsi="Calibri"/>
        </w:rPr>
      </w:pPr>
    </w:p>
    <w:p w:rsidR="000011CB" w:rsidRDefault="000011CB" w:rsidP="000011C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de-DE" w:bidi="ar-SA"/>
        </w:rPr>
        <w:drawing>
          <wp:inline distT="0" distB="0" distL="0" distR="0">
            <wp:extent cx="4126667" cy="4836995"/>
            <wp:effectExtent l="0" t="0" r="762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tike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660" cy="484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1CB" w:rsidRPr="000011CB" w:rsidRDefault="000011CB" w:rsidP="000011CB">
      <w:pPr>
        <w:jc w:val="center"/>
        <w:rPr>
          <w:rFonts w:ascii="Calibri" w:hAnsi="Calibri"/>
          <w:sz w:val="18"/>
          <w:szCs w:val="18"/>
        </w:rPr>
      </w:pPr>
      <w:r w:rsidRPr="000011CB">
        <w:rPr>
          <w:rFonts w:ascii="Calibri" w:hAnsi="Calibri"/>
          <w:sz w:val="18"/>
          <w:szCs w:val="18"/>
        </w:rPr>
        <w:t>Märkische Allgemeine Zeitung, 29.11.1995</w:t>
      </w:r>
    </w:p>
    <w:p w:rsidR="000011CB" w:rsidRDefault="000011CB" w:rsidP="00946B5F">
      <w:pPr>
        <w:rPr>
          <w:rFonts w:ascii="Calibri" w:hAnsi="Calibri"/>
          <w:b/>
        </w:rPr>
      </w:pPr>
    </w:p>
    <w:p w:rsidR="007C022B" w:rsidRPr="00A43248" w:rsidRDefault="007C022B" w:rsidP="00946B5F">
      <w:pPr>
        <w:rPr>
          <w:rFonts w:ascii="Calibri" w:hAnsi="Calibri"/>
          <w:b/>
        </w:rPr>
      </w:pPr>
      <w:r w:rsidRPr="00A43248">
        <w:rPr>
          <w:rFonts w:ascii="Calibri" w:hAnsi="Calibri"/>
          <w:b/>
        </w:rPr>
        <w:t>3).</w:t>
      </w:r>
      <w:r w:rsidR="009734CA">
        <w:rPr>
          <w:rFonts w:ascii="Calibri" w:hAnsi="Calibri"/>
          <w:b/>
        </w:rPr>
        <w:t xml:space="preserve"> Wie das Grenzregime funktionierte</w:t>
      </w:r>
    </w:p>
    <w:p w:rsidR="007C022B" w:rsidRDefault="007C022B" w:rsidP="00946B5F">
      <w:pPr>
        <w:rPr>
          <w:rFonts w:ascii="Calibri" w:hAnsi="Calibri"/>
        </w:rPr>
      </w:pPr>
    </w:p>
    <w:p w:rsidR="007C022B" w:rsidRDefault="009734CA" w:rsidP="00946B5F">
      <w:pPr>
        <w:rPr>
          <w:rFonts w:ascii="Calibri" w:hAnsi="Calibri"/>
        </w:rPr>
      </w:pPr>
      <w:r>
        <w:rPr>
          <w:rFonts w:ascii="Calibri" w:hAnsi="Calibri"/>
        </w:rPr>
        <w:t>Zwar sprach man in der DDR nicht offen über das Grenzregime an der Mauer,</w:t>
      </w:r>
      <w:r w:rsidR="00535641">
        <w:rPr>
          <w:rFonts w:ascii="Calibri" w:hAnsi="Calibri"/>
        </w:rPr>
        <w:t xml:space="preserve"> es gab aber Gerüchte</w:t>
      </w:r>
      <w:r w:rsidR="00441242">
        <w:rPr>
          <w:rFonts w:ascii="Calibri" w:hAnsi="Calibri"/>
        </w:rPr>
        <w:t>, dass Grenzern, die einen Fluchtversuch nicht verhinderten</w:t>
      </w:r>
      <w:r>
        <w:rPr>
          <w:rFonts w:ascii="Calibri" w:hAnsi="Calibri"/>
        </w:rPr>
        <w:t>, schwere Strafen drohten.</w:t>
      </w:r>
    </w:p>
    <w:p w:rsidR="00946B5F" w:rsidRPr="00AC0A4D" w:rsidRDefault="00946B5F" w:rsidP="00946B5F">
      <w:pPr>
        <w:rPr>
          <w:rFonts w:ascii="Calibri" w:hAnsi="Calibri"/>
        </w:rPr>
      </w:pPr>
      <w:r w:rsidRPr="00AC0A4D">
        <w:rPr>
          <w:rFonts w:ascii="Calibri" w:hAnsi="Calibri"/>
        </w:rPr>
        <w:t xml:space="preserve"> </w:t>
      </w:r>
    </w:p>
    <w:p w:rsidR="00946B5F" w:rsidRPr="00AC0A4D" w:rsidRDefault="003D25CC" w:rsidP="00946B5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Zum Weiterdenken: </w:t>
      </w:r>
      <w:r w:rsidR="00441242">
        <w:rPr>
          <w:rFonts w:ascii="Calibri" w:hAnsi="Calibri"/>
        </w:rPr>
        <w:t>Welche Konsequenzen drohten einem DDR-Grenzer, der eine Flucht nicht verhinderte?</w:t>
      </w:r>
      <w:r w:rsidR="00946B5F" w:rsidRPr="00AC0A4D">
        <w:rPr>
          <w:rFonts w:ascii="Calibri" w:hAnsi="Calibri"/>
        </w:rPr>
        <w:t xml:space="preserve"> </w:t>
      </w:r>
      <w:r w:rsidR="00FB68C0">
        <w:rPr>
          <w:rFonts w:ascii="Calibri" w:hAnsi="Calibri"/>
        </w:rPr>
        <w:t>Welche Folgen</w:t>
      </w:r>
      <w:r w:rsidR="00441242">
        <w:rPr>
          <w:rFonts w:ascii="Calibri" w:hAnsi="Calibri"/>
        </w:rPr>
        <w:t xml:space="preserve"> hatte es, wenn es einem DDR-Grenzer gelang, eine Flucht zu verhindern? </w:t>
      </w:r>
      <w:r w:rsidR="00946B5F" w:rsidRPr="00AC0A4D">
        <w:rPr>
          <w:rFonts w:ascii="Calibri" w:hAnsi="Calibri"/>
        </w:rPr>
        <w:t xml:space="preserve">Recherchiert im Internet und sammelt Eure schriftlichen Ergebnisse in einem Tafelbild. Berücksichtigt dabei auch das damalige Militärgefängnis der Nationalen Volksarmee in Schwedt. </w:t>
      </w:r>
    </w:p>
    <w:p w:rsidR="00946B5F" w:rsidRPr="00AC0A4D" w:rsidRDefault="00946B5F" w:rsidP="00946B5F">
      <w:pPr>
        <w:rPr>
          <w:rFonts w:ascii="Calibri" w:hAnsi="Calibri"/>
        </w:rPr>
      </w:pPr>
    </w:p>
    <w:p w:rsidR="00F51B4C" w:rsidRPr="00AC0A4D" w:rsidRDefault="007C6142"/>
    <w:sectPr w:rsidR="00F51B4C" w:rsidRPr="00AC0A4D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4D" w:rsidRDefault="0091374D" w:rsidP="00AC0A4D">
      <w:r>
        <w:separator/>
      </w:r>
    </w:p>
  </w:endnote>
  <w:endnote w:type="continuationSeparator" w:id="0">
    <w:p w:rsidR="0091374D" w:rsidRDefault="0091374D" w:rsidP="00AC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4D" w:rsidRDefault="0091374D" w:rsidP="00AC0A4D">
      <w:r>
        <w:separator/>
      </w:r>
    </w:p>
  </w:footnote>
  <w:footnote w:type="continuationSeparator" w:id="0">
    <w:p w:rsidR="0091374D" w:rsidRDefault="0091374D" w:rsidP="00AC0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98381352"/>
      <w:docPartObj>
        <w:docPartGallery w:val="Page Numbers (Top of Page)"/>
        <w:docPartUnique/>
      </w:docPartObj>
    </w:sdtPr>
    <w:sdtEndPr/>
    <w:sdtContent>
      <w:p w:rsidR="00AC0A4D" w:rsidRPr="00AC0A4D" w:rsidRDefault="00AC0A4D" w:rsidP="00384714">
        <w:pPr>
          <w:pStyle w:val="Kopfzeile"/>
          <w:shd w:val="clear" w:color="auto" w:fill="D9D9D9" w:themeFill="background1" w:themeFillShade="D9"/>
          <w:jc w:val="right"/>
          <w:rPr>
            <w:rFonts w:asciiTheme="minorHAnsi" w:hAnsiTheme="minorHAnsi"/>
          </w:rPr>
        </w:pPr>
        <w:r w:rsidRPr="00AC0A4D">
          <w:rPr>
            <w:rFonts w:asciiTheme="minorHAnsi" w:hAnsiTheme="minorHAnsi"/>
          </w:rPr>
          <w:t>Die Leiter nach Drüben – Arbeitsblatt 6</w:t>
        </w:r>
      </w:p>
      <w:p w:rsidR="00AC0A4D" w:rsidRPr="00AC0A4D" w:rsidRDefault="00AC0A4D" w:rsidP="00AC0A4D">
        <w:pPr>
          <w:pStyle w:val="Kopfzeile"/>
          <w:jc w:val="right"/>
          <w:rPr>
            <w:rFonts w:asciiTheme="minorHAnsi" w:hAnsiTheme="minorHAnsi"/>
          </w:rPr>
        </w:pPr>
        <w:r w:rsidRPr="00AC0A4D">
          <w:rPr>
            <w:rFonts w:asciiTheme="minorHAnsi" w:hAnsiTheme="minorHAnsi"/>
          </w:rPr>
          <w:t xml:space="preserve">Seite </w:t>
        </w:r>
        <w:r w:rsidRPr="00AC0A4D">
          <w:rPr>
            <w:rFonts w:asciiTheme="minorHAnsi" w:hAnsiTheme="minorHAnsi"/>
            <w:b/>
            <w:bCs/>
            <w:szCs w:val="24"/>
          </w:rPr>
          <w:fldChar w:fldCharType="begin"/>
        </w:r>
        <w:r w:rsidRPr="00AC0A4D">
          <w:rPr>
            <w:rFonts w:asciiTheme="minorHAnsi" w:hAnsiTheme="minorHAnsi"/>
            <w:b/>
            <w:bCs/>
          </w:rPr>
          <w:instrText>PAGE</w:instrText>
        </w:r>
        <w:r w:rsidRPr="00AC0A4D">
          <w:rPr>
            <w:rFonts w:asciiTheme="minorHAnsi" w:hAnsiTheme="minorHAnsi"/>
            <w:b/>
            <w:bCs/>
            <w:szCs w:val="24"/>
          </w:rPr>
          <w:fldChar w:fldCharType="separate"/>
        </w:r>
        <w:r w:rsidR="007C6142">
          <w:rPr>
            <w:rFonts w:asciiTheme="minorHAnsi" w:hAnsiTheme="minorHAnsi"/>
            <w:b/>
            <w:bCs/>
            <w:noProof/>
          </w:rPr>
          <w:t>2</w:t>
        </w:r>
        <w:r w:rsidRPr="00AC0A4D">
          <w:rPr>
            <w:rFonts w:asciiTheme="minorHAnsi" w:hAnsiTheme="minorHAnsi"/>
            <w:b/>
            <w:bCs/>
            <w:szCs w:val="24"/>
          </w:rPr>
          <w:fldChar w:fldCharType="end"/>
        </w:r>
        <w:r w:rsidRPr="00AC0A4D">
          <w:rPr>
            <w:rFonts w:asciiTheme="minorHAnsi" w:hAnsiTheme="minorHAnsi"/>
          </w:rPr>
          <w:t xml:space="preserve"> von </w:t>
        </w:r>
        <w:r w:rsidRPr="00AC0A4D">
          <w:rPr>
            <w:rFonts w:asciiTheme="minorHAnsi" w:hAnsiTheme="minorHAnsi"/>
            <w:b/>
            <w:bCs/>
            <w:szCs w:val="24"/>
          </w:rPr>
          <w:fldChar w:fldCharType="begin"/>
        </w:r>
        <w:r w:rsidRPr="00AC0A4D">
          <w:rPr>
            <w:rFonts w:asciiTheme="minorHAnsi" w:hAnsiTheme="minorHAnsi"/>
            <w:b/>
            <w:bCs/>
          </w:rPr>
          <w:instrText>NUMPAGES</w:instrText>
        </w:r>
        <w:r w:rsidRPr="00AC0A4D">
          <w:rPr>
            <w:rFonts w:asciiTheme="minorHAnsi" w:hAnsiTheme="minorHAnsi"/>
            <w:b/>
            <w:bCs/>
            <w:szCs w:val="24"/>
          </w:rPr>
          <w:fldChar w:fldCharType="separate"/>
        </w:r>
        <w:r w:rsidR="007C6142">
          <w:rPr>
            <w:rFonts w:asciiTheme="minorHAnsi" w:hAnsiTheme="minorHAnsi"/>
            <w:b/>
            <w:bCs/>
            <w:noProof/>
          </w:rPr>
          <w:t>2</w:t>
        </w:r>
        <w:r w:rsidRPr="00AC0A4D">
          <w:rPr>
            <w:rFonts w:asciiTheme="minorHAnsi" w:hAnsiTheme="minorHAnsi"/>
            <w:b/>
            <w:bCs/>
            <w:szCs w:val="24"/>
          </w:rPr>
          <w:fldChar w:fldCharType="end"/>
        </w:r>
      </w:p>
    </w:sdtContent>
  </w:sdt>
  <w:p w:rsidR="00AC0A4D" w:rsidRDefault="00AC0A4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5F"/>
    <w:rsid w:val="000011CB"/>
    <w:rsid w:val="001A06F4"/>
    <w:rsid w:val="00317447"/>
    <w:rsid w:val="00384714"/>
    <w:rsid w:val="003D25CC"/>
    <w:rsid w:val="00441242"/>
    <w:rsid w:val="00535641"/>
    <w:rsid w:val="007A17D0"/>
    <w:rsid w:val="007C022B"/>
    <w:rsid w:val="007C6142"/>
    <w:rsid w:val="0091374D"/>
    <w:rsid w:val="00946B5F"/>
    <w:rsid w:val="009734CA"/>
    <w:rsid w:val="00A12694"/>
    <w:rsid w:val="00A43248"/>
    <w:rsid w:val="00A536A5"/>
    <w:rsid w:val="00AC0A4D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0A4D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AC0A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AC0A4D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AC0A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6A5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6A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0A4D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AC0A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AC0A4D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AC0A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6A5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6A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Appelius</dc:creator>
  <cp:lastModifiedBy>Anna von Arnim-Rosenthal</cp:lastModifiedBy>
  <cp:revision>3</cp:revision>
  <cp:lastPrinted>2015-07-21T11:47:00Z</cp:lastPrinted>
  <dcterms:created xsi:type="dcterms:W3CDTF">2015-07-21T11:47:00Z</dcterms:created>
  <dcterms:modified xsi:type="dcterms:W3CDTF">2015-07-21T11:48:00Z</dcterms:modified>
</cp:coreProperties>
</file>